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7E" w:rsidRDefault="00602C0F" w:rsidP="00602C0F">
      <w:pPr>
        <w:jc w:val="center"/>
        <w:rPr>
          <w:b/>
          <w:sz w:val="28"/>
        </w:rPr>
      </w:pPr>
      <w:r w:rsidRPr="00602C0F">
        <w:rPr>
          <w:b/>
          <w:sz w:val="28"/>
        </w:rPr>
        <w:t>Uwagi do procedury III edycji Dąbrowskiego Budżetu Partycypacyjnego</w:t>
      </w:r>
    </w:p>
    <w:p w:rsidR="00602C0F" w:rsidRDefault="00602C0F" w:rsidP="00602C0F">
      <w:pPr>
        <w:jc w:val="center"/>
        <w:rPr>
          <w:b/>
          <w:sz w:val="28"/>
        </w:rPr>
      </w:pPr>
    </w:p>
    <w:tbl>
      <w:tblPr>
        <w:tblStyle w:val="Tabela-Siatka"/>
        <w:tblW w:w="10173" w:type="dxa"/>
        <w:tblLook w:val="04A0"/>
      </w:tblPr>
      <w:tblGrid>
        <w:gridCol w:w="534"/>
        <w:gridCol w:w="1701"/>
        <w:gridCol w:w="4674"/>
        <w:gridCol w:w="3264"/>
      </w:tblGrid>
      <w:tr w:rsidR="00602C0F" w:rsidTr="00602C0F">
        <w:tc>
          <w:tcPr>
            <w:tcW w:w="534" w:type="dxa"/>
            <w:shd w:val="clear" w:color="auto" w:fill="D9D9D9" w:themeFill="background1" w:themeFillShade="D9"/>
          </w:tcPr>
          <w:p w:rsidR="00602C0F" w:rsidRDefault="00602C0F" w:rsidP="00602C0F">
            <w:pPr>
              <w:jc w:val="center"/>
              <w:rPr>
                <w:b/>
              </w:rPr>
            </w:pPr>
            <w:r>
              <w:rPr>
                <w:b/>
              </w:rPr>
              <w:t>Lp.</w:t>
            </w:r>
          </w:p>
        </w:tc>
        <w:tc>
          <w:tcPr>
            <w:tcW w:w="1701" w:type="dxa"/>
            <w:shd w:val="clear" w:color="auto" w:fill="D9D9D9" w:themeFill="background1" w:themeFillShade="D9"/>
          </w:tcPr>
          <w:p w:rsidR="00602C0F" w:rsidRDefault="00602C0F" w:rsidP="00602C0F">
            <w:pPr>
              <w:jc w:val="center"/>
              <w:rPr>
                <w:b/>
              </w:rPr>
            </w:pPr>
            <w:r>
              <w:rPr>
                <w:b/>
              </w:rPr>
              <w:t>Zgłaszająca/y uwagi</w:t>
            </w:r>
          </w:p>
        </w:tc>
        <w:tc>
          <w:tcPr>
            <w:tcW w:w="4674" w:type="dxa"/>
            <w:shd w:val="clear" w:color="auto" w:fill="D9D9D9" w:themeFill="background1" w:themeFillShade="D9"/>
          </w:tcPr>
          <w:p w:rsidR="00602C0F" w:rsidRDefault="00602C0F" w:rsidP="00602C0F">
            <w:pPr>
              <w:jc w:val="center"/>
              <w:rPr>
                <w:b/>
              </w:rPr>
            </w:pPr>
            <w:r>
              <w:rPr>
                <w:b/>
              </w:rPr>
              <w:t>Treść uwag</w:t>
            </w:r>
          </w:p>
        </w:tc>
        <w:tc>
          <w:tcPr>
            <w:tcW w:w="3264" w:type="dxa"/>
            <w:shd w:val="clear" w:color="auto" w:fill="D9D9D9" w:themeFill="background1" w:themeFillShade="D9"/>
          </w:tcPr>
          <w:p w:rsidR="00602C0F" w:rsidRDefault="00602C0F" w:rsidP="00602C0F">
            <w:pPr>
              <w:jc w:val="center"/>
              <w:rPr>
                <w:b/>
              </w:rPr>
            </w:pPr>
            <w:r>
              <w:rPr>
                <w:b/>
              </w:rPr>
              <w:t>Stanowisko Urzędu Miejskiego</w:t>
            </w:r>
          </w:p>
        </w:tc>
      </w:tr>
      <w:tr w:rsidR="00602C0F" w:rsidTr="00602C0F">
        <w:tc>
          <w:tcPr>
            <w:tcW w:w="534" w:type="dxa"/>
          </w:tcPr>
          <w:p w:rsidR="00602C0F" w:rsidRDefault="00602C0F" w:rsidP="00602C0F">
            <w:pPr>
              <w:jc w:val="center"/>
              <w:rPr>
                <w:b/>
              </w:rPr>
            </w:pPr>
            <w:r>
              <w:rPr>
                <w:b/>
              </w:rPr>
              <w:t>1.</w:t>
            </w:r>
          </w:p>
        </w:tc>
        <w:tc>
          <w:tcPr>
            <w:tcW w:w="1701" w:type="dxa"/>
          </w:tcPr>
          <w:p w:rsidR="00602C0F" w:rsidRPr="00FB5897" w:rsidRDefault="00602C0F" w:rsidP="00602C0F">
            <w:pPr>
              <w:jc w:val="center"/>
              <w:rPr>
                <w:b/>
              </w:rPr>
            </w:pPr>
            <w:r w:rsidRPr="00FB5897">
              <w:rPr>
                <w:b/>
              </w:rPr>
              <w:t xml:space="preserve">Tomasz </w:t>
            </w:r>
            <w:proofErr w:type="spellStart"/>
            <w:r w:rsidRPr="00FB5897">
              <w:rPr>
                <w:b/>
              </w:rPr>
              <w:t>Czowalla</w:t>
            </w:r>
            <w:proofErr w:type="spellEnd"/>
          </w:p>
        </w:tc>
        <w:tc>
          <w:tcPr>
            <w:tcW w:w="4674" w:type="dxa"/>
          </w:tcPr>
          <w:p w:rsidR="00602C0F" w:rsidRPr="00C90604" w:rsidRDefault="00602C0F" w:rsidP="00602C0F">
            <w:r w:rsidRPr="00C90604">
              <w:t>Chodzi o granice dzielnicy Osiedle Młodych Hutników. W projekcie wschodnia granica ww. dzielnicy kończy się na linii osiedlowych boisk. Chciałbym zaproponować przesunięcie tej granicy bardziej na wschód do linii zabudowy ulicy Łąkowej. Moja propozycja jest podyktowana faktem, że mamy (nauczyciele i uczniowie Gimnazjum nr 9 w Dąbrowie Górniczej) w planie zgłoszenie projektu budowy chodnika i montaż oświetlenia na przedłużeniu ulicy Łąkowej do Osiedla Młodych Hutników. Drogą tą przemieszcza się wielu mieszkańców osiedla w drodze do centrum Ząbkowic, a przede wszystkim jest to najkrótsza droga z osiedla do szkoły młodzieży z Gimnazjum nr 9. W okresie jesienno - zimowym droga ta jest pełna błota i kałuż. Wieczorami jest tam ciemno. Budową chodnika i oświetlenia na tej drodze są zainteresowani przede wszystkim mieszkańcy Osiedla Młodych Hutników - mieszkańcy innych części Ząbkowic najprawdopodobniej nie będą w ogóle zainteresowani takim projektem.</w:t>
            </w:r>
          </w:p>
        </w:tc>
        <w:tc>
          <w:tcPr>
            <w:tcW w:w="3264" w:type="dxa"/>
          </w:tcPr>
          <w:p w:rsidR="00167610" w:rsidRPr="0012538F" w:rsidRDefault="00602C0F" w:rsidP="0012538F">
            <w:r w:rsidRPr="0012538F">
              <w:t xml:space="preserve">Uwaga </w:t>
            </w:r>
            <w:r w:rsidR="0012538F" w:rsidRPr="0012538F">
              <w:t>częściowo uwzględniona</w:t>
            </w:r>
            <w:r w:rsidRPr="0012538F">
              <w:t xml:space="preserve"> – </w:t>
            </w:r>
          </w:p>
          <w:p w:rsidR="00167610" w:rsidRPr="00167610" w:rsidRDefault="00167610" w:rsidP="0012538F">
            <w:pPr>
              <w:rPr>
                <w:color w:val="FF0000"/>
              </w:rPr>
            </w:pPr>
            <w:r w:rsidRPr="0012538F">
              <w:t>Wsk</w:t>
            </w:r>
            <w:r w:rsidR="0012538F" w:rsidRPr="0012538F">
              <w:t>azany</w:t>
            </w:r>
            <w:r w:rsidRPr="0012538F">
              <w:t xml:space="preserve"> teren obecnie nie</w:t>
            </w:r>
            <w:r w:rsidR="0012538F" w:rsidRPr="0012538F">
              <w:t xml:space="preserve"> jest przyporządkowany</w:t>
            </w:r>
            <w:r w:rsidRPr="0012538F">
              <w:t xml:space="preserve"> w granicach żadnej z dzielnic. </w:t>
            </w:r>
            <w:r w:rsidR="0012538F" w:rsidRPr="0012538F">
              <w:t xml:space="preserve"> </w:t>
            </w:r>
            <w:r w:rsidRPr="0012538F">
              <w:t>Teren zabudowań</w:t>
            </w:r>
            <w:r w:rsidR="00B66067">
              <w:t xml:space="preserve"> ulicy Łąkowej</w:t>
            </w:r>
            <w:r w:rsidR="0012538F" w:rsidRPr="0012538F">
              <w:t xml:space="preserve"> zlokalizowany został w dzielnicy</w:t>
            </w:r>
            <w:r w:rsidRPr="0012538F">
              <w:t xml:space="preserve"> </w:t>
            </w:r>
            <w:r w:rsidR="0012538F" w:rsidRPr="0012538F">
              <w:t>Ząbkowice</w:t>
            </w:r>
            <w:r w:rsidRPr="0012538F">
              <w:t>, a wskazany tereny można uznać za teren ogólny,</w:t>
            </w:r>
            <w:r w:rsidR="0012538F" w:rsidRPr="0012538F">
              <w:t xml:space="preserve"> </w:t>
            </w:r>
            <w:r w:rsidRPr="0012538F">
              <w:t>co pozwala na złożenie projektów  w tej lokalizacji</w:t>
            </w:r>
            <w:r w:rsidR="00B66067">
              <w:t xml:space="preserve"> przez mieszkańców dzielnicy Osiedle Młodych Hutników</w:t>
            </w:r>
            <w:r w:rsidR="0012538F">
              <w:t xml:space="preserve">. </w:t>
            </w:r>
          </w:p>
        </w:tc>
      </w:tr>
      <w:tr w:rsidR="00DF1167" w:rsidTr="00602C0F">
        <w:trPr>
          <w:trHeight w:val="1695"/>
        </w:trPr>
        <w:tc>
          <w:tcPr>
            <w:tcW w:w="534" w:type="dxa"/>
            <w:vMerge w:val="restart"/>
          </w:tcPr>
          <w:p w:rsidR="00DF1167" w:rsidRDefault="00DF1167" w:rsidP="00602C0F">
            <w:pPr>
              <w:jc w:val="center"/>
              <w:rPr>
                <w:b/>
              </w:rPr>
            </w:pPr>
            <w:r>
              <w:rPr>
                <w:b/>
              </w:rPr>
              <w:t>2.</w:t>
            </w:r>
          </w:p>
        </w:tc>
        <w:tc>
          <w:tcPr>
            <w:tcW w:w="1701" w:type="dxa"/>
            <w:vMerge w:val="restart"/>
          </w:tcPr>
          <w:p w:rsidR="00DF1167" w:rsidRDefault="00FB5897" w:rsidP="00FB5897">
            <w:pPr>
              <w:jc w:val="center"/>
              <w:rPr>
                <w:b/>
              </w:rPr>
            </w:pPr>
            <w:r>
              <w:rPr>
                <w:b/>
              </w:rPr>
              <w:t xml:space="preserve">Jolanta </w:t>
            </w:r>
            <w:proofErr w:type="spellStart"/>
            <w:r w:rsidR="00DF1167">
              <w:rPr>
                <w:b/>
              </w:rPr>
              <w:t>Olaszewska</w:t>
            </w:r>
            <w:proofErr w:type="spellEnd"/>
          </w:p>
        </w:tc>
        <w:tc>
          <w:tcPr>
            <w:tcW w:w="4674" w:type="dxa"/>
          </w:tcPr>
          <w:p w:rsidR="00DF1167" w:rsidRPr="00C90604" w:rsidRDefault="00DF1167" w:rsidP="00602C0F">
            <w:r w:rsidRPr="00C90604">
              <w:t>W zasadzie nadal nie rozumiem systemu podwójnej numeracji w dokumencie w części „ZASADY I TRYB PRZEPROWADZANIA BUDŻETU PARTYCYPACYJNEGO 2016 (tzn. nr rozdziału = nr paragrafu), które nic nie wnoszą do tego dokumentu.</w:t>
            </w:r>
          </w:p>
          <w:p w:rsidR="00DF1167" w:rsidRPr="00C90604" w:rsidRDefault="00DF1167" w:rsidP="00602C0F">
            <w:r w:rsidRPr="00C90604">
              <w:t xml:space="preserve"> </w:t>
            </w:r>
          </w:p>
        </w:tc>
        <w:tc>
          <w:tcPr>
            <w:tcW w:w="3264" w:type="dxa"/>
          </w:tcPr>
          <w:p w:rsidR="00DF1167" w:rsidRPr="00C90604" w:rsidRDefault="00DF1167" w:rsidP="00C90604">
            <w:r w:rsidRPr="00C90604">
              <w:t>Uchwała Rady Miejskiej</w:t>
            </w:r>
            <w:r w:rsidR="00FB5897">
              <w:t xml:space="preserve"> w Dąbrowie Górniczej w sprawie</w:t>
            </w:r>
            <w:r w:rsidRPr="00C90604">
              <w:t xml:space="preserve">: zasad i trybu przeprowadzenia konsultacji społecznych z mieszkańcami Dąbrowy Górniczej na temat Budżetu Miasta Dąbrowa Górnicza na 2016 rok sporządzana zostaje z zachowaniem powszechnie przyjętych zasad przygotowywania aktów prawnych oraz w formie przyjaznej dla osoby, która zapoznaje się z aktem. </w:t>
            </w:r>
          </w:p>
        </w:tc>
      </w:tr>
      <w:tr w:rsidR="00DF1167" w:rsidTr="00602C0F">
        <w:trPr>
          <w:trHeight w:val="1425"/>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C90604" w:rsidRDefault="00DF1167" w:rsidP="00602C0F">
            <w:r w:rsidRPr="00C90604">
              <w:t>Bardzo się cieszę, że w wydzielonych dzielnicach znalazła się pozycja „Rudy” (z Wypaleniskami), ponieważ gwarantuje to realizację projektów w tym obszarze i myślę, że nie zabraknie dalszej aktywności mieszkańców Rud i Wypalenisk.</w:t>
            </w:r>
          </w:p>
        </w:tc>
        <w:tc>
          <w:tcPr>
            <w:tcW w:w="3264" w:type="dxa"/>
          </w:tcPr>
          <w:p w:rsidR="00DF1167" w:rsidRPr="00C90604" w:rsidRDefault="00DF1167" w:rsidP="00602C0F">
            <w:r w:rsidRPr="00C90604">
              <w:t>Uwaga ta została uwzględniona w związku z sygnałami mieszkańców odnośnie powstania nowej dzielnicy tj. Rudy + Wypaleniska</w:t>
            </w:r>
            <w:r w:rsidR="009A0B64">
              <w:t>.</w:t>
            </w:r>
          </w:p>
          <w:p w:rsidR="00DF1167" w:rsidRPr="00C90604" w:rsidRDefault="00DF1167" w:rsidP="00602C0F"/>
        </w:tc>
      </w:tr>
      <w:tr w:rsidR="00DF1167" w:rsidTr="00602C0F">
        <w:trPr>
          <w:trHeight w:val="1155"/>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C90604" w:rsidRDefault="00DF1167" w:rsidP="00602C0F">
            <w:r w:rsidRPr="00C90604">
              <w:t>Czy Radni Rady Miejskiej będą informowani o spotkaniach w naszych punktach konsultacyjnych, czy możemy się ich spodziewać?</w:t>
            </w:r>
          </w:p>
          <w:p w:rsidR="00DF1167" w:rsidRPr="00C90604" w:rsidRDefault="00DF1167" w:rsidP="00602C0F">
            <w:r w:rsidRPr="00C90604">
              <w:t xml:space="preserve"> </w:t>
            </w:r>
          </w:p>
        </w:tc>
        <w:tc>
          <w:tcPr>
            <w:tcW w:w="3264" w:type="dxa"/>
          </w:tcPr>
          <w:p w:rsidR="00DF1167" w:rsidRPr="00C90604" w:rsidRDefault="00DF1167" w:rsidP="00602C0F">
            <w:r w:rsidRPr="00C90604">
              <w:t>Radni Rady Miejskiej na bieżąco informowani są o działaniach związanych z Dąbrowskim Budżetem Partycypacyjnym. Wszyscy Radni Rady Miejskiej otrzymali pismo informujące o spotkaniach w związku z akcją informacyjno-edukacyjną.</w:t>
            </w:r>
          </w:p>
        </w:tc>
      </w:tr>
      <w:tr w:rsidR="00DF1167" w:rsidTr="00602C0F">
        <w:trPr>
          <w:trHeight w:val="2590"/>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C90604" w:rsidRDefault="00DF1167" w:rsidP="00602C0F">
            <w:r w:rsidRPr="00C90604">
              <w:t>Cały czas myślę, w jaki sposób zostanie dokończona droga w Kuźniczce Nowej (do ostatniej posesji) i Kuźniczce Las, niestety tej sprawy nie załatwi Budżet Partycypacyjny.</w:t>
            </w:r>
          </w:p>
          <w:p w:rsidR="00DF1167" w:rsidRPr="00C90604" w:rsidRDefault="00DF1167" w:rsidP="00602C0F">
            <w:r w:rsidRPr="00C90604">
              <w:t>To już trwa tyle lat, że straciłam wszelką nadzieję i entuzjazm do monitowania w tej sprawie – a drogę po zimie mamy tragiczną (i proszę mi wierzyć, że mam świadomość, że w innych miejscach jest podobnie).</w:t>
            </w:r>
          </w:p>
        </w:tc>
        <w:tc>
          <w:tcPr>
            <w:tcW w:w="3264" w:type="dxa"/>
          </w:tcPr>
          <w:p w:rsidR="00797978" w:rsidRPr="00C90604" w:rsidRDefault="000E2F68" w:rsidP="00FB5897">
            <w:r>
              <w:t xml:space="preserve">Uwaga przekracza zakres Dąbrowskiego Budżetu Partycypacyjnego. </w:t>
            </w:r>
          </w:p>
        </w:tc>
      </w:tr>
      <w:tr w:rsidR="00DF1167" w:rsidTr="00602C0F">
        <w:trPr>
          <w:trHeight w:val="2715"/>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C90604" w:rsidRDefault="00DF1167" w:rsidP="00602C0F">
            <w:r>
              <w:t>J</w:t>
            </w:r>
            <w:r w:rsidRPr="00C90604">
              <w:t xml:space="preserve">eśli obszary są wydzielone, czy planowane są konsultacje i z kim w zakresie potrzeb rozwoju wskazanych obszarów </w:t>
            </w:r>
            <w:proofErr w:type="spellStart"/>
            <w:r w:rsidRPr="00C90604">
              <w:t>ogólnomiejskich</w:t>
            </w:r>
            <w:proofErr w:type="spellEnd"/>
            <w:r w:rsidRPr="00C90604">
              <w:t>? W jaki sposób będą identyfikowane potrzeby społeczne, czy będą uwzględnione?</w:t>
            </w:r>
          </w:p>
        </w:tc>
        <w:tc>
          <w:tcPr>
            <w:tcW w:w="3264" w:type="dxa"/>
          </w:tcPr>
          <w:p w:rsidR="00DF1167" w:rsidRPr="00C90604" w:rsidRDefault="00DF1167" w:rsidP="00602C0F">
            <w:r>
              <w:t xml:space="preserve">W obszarach tzw. </w:t>
            </w:r>
            <w:proofErr w:type="spellStart"/>
            <w:r>
              <w:t>ogólnomiejskich</w:t>
            </w:r>
            <w:proofErr w:type="spellEnd"/>
            <w:r>
              <w:t xml:space="preserve"> prowadzone są tzw. inne procesy konsultacji społecznych. Przykładem takich konsultacji był proces „Jak zagospodarować teren wokół zbiornika wodnego Pogoria III?”. Podczas tych konsultacji mieszkańcy mieli możliwość wypowiedzieć się na temat, co należy zmienić/zmodernizować w tej ważnej dla miasta przestrzeni publicznej. Konsultacje polegały na cyklu spotkań z różnymi grupami społecznymi, co </w:t>
            </w:r>
            <w:r w:rsidR="002913CD">
              <w:t>pozwoliło na wyciągnięcie konkretnych wniosków, które będą mogły być realizowane w przyszłości na tym terenie.</w:t>
            </w:r>
          </w:p>
        </w:tc>
      </w:tr>
      <w:tr w:rsidR="00DF1167" w:rsidTr="00DF1167">
        <w:trPr>
          <w:trHeight w:val="2475"/>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C90604" w:rsidRDefault="002913CD" w:rsidP="00602C0F">
            <w:r>
              <w:t>I</w:t>
            </w:r>
            <w:r w:rsidR="00DF1167" w:rsidRPr="00C90604">
              <w:t>lość niezbędnych formularzy do głosowania można szacować na podstawie danych historycznych z poprzednich dwóch lat – jeśli to możliwe) piszę tą uwagę po raz drugi, ponieważ za każdym razem w Kuźniczce na w drugim lub trzecim dniu głosowania drukuję ok. 50-60 formularzy. Myślę, że nie na tym powinno polegać zaangażowanie autorów/liderów.</w:t>
            </w:r>
          </w:p>
        </w:tc>
        <w:tc>
          <w:tcPr>
            <w:tcW w:w="3264" w:type="dxa"/>
          </w:tcPr>
          <w:p w:rsidR="00DF1167" w:rsidRPr="00C90604" w:rsidRDefault="002913CD" w:rsidP="00602C0F">
            <w:r>
              <w:t xml:space="preserve">Ilość kart do głosowania każdego roku weryfikowana jest w oparciu o zeszłoroczną edycję Dąbrowskiego Budżetu Partycypacyjnego. W I edycji dzielnica Kuźniczka Nowa nie figurowała w podziale miasta, stąd nie było można oszacować przybliżonej liczby kart do głosowania. Warto także podkreślić, że pracownicy Biura Organizacji Pozarządowych i Aktywności Obywatelskiej na bieżąco doręczali nowe karty do głosowania jeżeli dany Punkt </w:t>
            </w:r>
            <w:r>
              <w:lastRenderedPageBreak/>
              <w:t>Konsultacyjny zgłosił takie zapotrzebowanie.</w:t>
            </w:r>
          </w:p>
        </w:tc>
      </w:tr>
      <w:tr w:rsidR="00DF1167" w:rsidTr="00DF1167">
        <w:trPr>
          <w:trHeight w:val="690"/>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FB7FCF" w:rsidRPr="00FB7FCF" w:rsidRDefault="00FB7FCF" w:rsidP="00602C0F">
            <w:r>
              <w:t xml:space="preserve">Propozycja zmiany zapisu w projekcie uchwały Rady Miejskiej w sprawie </w:t>
            </w:r>
            <w:r w:rsidR="0093217F" w:rsidRPr="00C90604">
              <w:t>zasad i trybu przeprowadzenia konsultacji społecznych z mieszkańcami Dąbrowy Górniczej na temat Budżetu Miasta Dąbrowa Górnicza na 2016 rok</w:t>
            </w:r>
            <w:r w:rsidR="0093217F">
              <w:t>:</w:t>
            </w:r>
          </w:p>
          <w:p w:rsidR="00DF1167" w:rsidRPr="0093217F" w:rsidRDefault="00DF1167" w:rsidP="00602C0F">
            <w:pPr>
              <w:rPr>
                <w:i/>
              </w:rPr>
            </w:pPr>
            <w:r w:rsidRPr="0093217F">
              <w:rPr>
                <w:i/>
              </w:rPr>
              <w:t>Punkt odnośnie opracowywania wyników</w:t>
            </w:r>
            <w:r w:rsidRPr="0093217F">
              <w:rPr>
                <w:i/>
              </w:rPr>
              <w:br/>
              <w:t xml:space="preserve">Czy można ten punkt rozszerzyć o informowanie autorów projektów o zamieszczeniu informacji o wynikach na stronach Budżetu P.? Np. Krótka informacja e-mail lub </w:t>
            </w:r>
            <w:proofErr w:type="spellStart"/>
            <w:r w:rsidRPr="0093217F">
              <w:rPr>
                <w:i/>
              </w:rPr>
              <w:t>sms</w:t>
            </w:r>
            <w:proofErr w:type="spellEnd"/>
            <w:r w:rsidRPr="0093217F">
              <w:rPr>
                <w:i/>
              </w:rPr>
              <w:t>?</w:t>
            </w:r>
          </w:p>
        </w:tc>
        <w:tc>
          <w:tcPr>
            <w:tcW w:w="3264" w:type="dxa"/>
          </w:tcPr>
          <w:p w:rsidR="00DF1167" w:rsidRPr="00C90604" w:rsidRDefault="003C106F" w:rsidP="00602C0F">
            <w:r>
              <w:t xml:space="preserve">Uwaga nieuwzględniona – informacja o wynikach głosowania publikowana jest w możliwie dostępnych źródłach przekazu tj. portal </w:t>
            </w:r>
            <w:hyperlink r:id="rId4" w:history="1">
              <w:r w:rsidRPr="00A331B9">
                <w:rPr>
                  <w:rStyle w:val="Hipercze"/>
                </w:rPr>
                <w:t>www.twojadabrowa.pl</w:t>
              </w:r>
            </w:hyperlink>
            <w:r>
              <w:t xml:space="preserve">, </w:t>
            </w:r>
            <w:hyperlink r:id="rId5" w:history="1">
              <w:r w:rsidRPr="00A331B9">
                <w:rPr>
                  <w:rStyle w:val="Hipercze"/>
                </w:rPr>
                <w:t>www.dabrowa-gornicza.pl</w:t>
              </w:r>
            </w:hyperlink>
            <w:r>
              <w:t xml:space="preserve">, </w:t>
            </w:r>
            <w:hyperlink r:id="rId6" w:history="1">
              <w:r w:rsidRPr="00A331B9">
                <w:rPr>
                  <w:rStyle w:val="Hipercze"/>
                </w:rPr>
                <w:t>www.ngo.dabrowa-gornicza.pl</w:t>
              </w:r>
            </w:hyperlink>
            <w:r>
              <w:t xml:space="preserve">, </w:t>
            </w:r>
            <w:proofErr w:type="spellStart"/>
            <w:r>
              <w:t>funpage</w:t>
            </w:r>
            <w:proofErr w:type="spellEnd"/>
            <w:r>
              <w:t xml:space="preserve"> Dąbrowskiego Budżetu Partycypacyjnego oraz oficjalnego profilu miasta Dąbrowa Górnicza na portalu </w:t>
            </w:r>
            <w:proofErr w:type="spellStart"/>
            <w:r>
              <w:t>społecznościowym</w:t>
            </w:r>
            <w:proofErr w:type="spellEnd"/>
            <w:r>
              <w:t xml:space="preserve"> </w:t>
            </w:r>
            <w:proofErr w:type="spellStart"/>
            <w:r>
              <w:t>Facebook</w:t>
            </w:r>
            <w:proofErr w:type="spellEnd"/>
            <w:r>
              <w:t xml:space="preserve">. Informacja o wynikach publikowana jest też w miarę możliwości w zaprzyjaźnionych mediach internetowych oraz dodatkowo publikowana jest informacja w Przeglądzie Dąbrowskim. </w:t>
            </w:r>
          </w:p>
        </w:tc>
      </w:tr>
      <w:tr w:rsidR="00DF1167" w:rsidTr="00DF1167">
        <w:trPr>
          <w:trHeight w:val="2025"/>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C90604" w:rsidRDefault="0093217F" w:rsidP="00602C0F">
            <w:r>
              <w:t xml:space="preserve">Propozycja zmiany zapisu w projekcie uchwały Rady Miejskiej w sprawie </w:t>
            </w:r>
            <w:r w:rsidRPr="00C90604">
              <w:t>zasad i trybu przeprowadzenia konsultacji społecznych z mieszkańcami Dąbrowy Górniczej na temat Budżetu Miasta Dąbrowa Górnicza na 2016 rok</w:t>
            </w:r>
            <w:r>
              <w:t>:</w:t>
            </w:r>
            <w:r>
              <w:br/>
            </w:r>
            <w:r w:rsidR="00DF1167" w:rsidRPr="0093217F">
              <w:rPr>
                <w:i/>
              </w:rPr>
              <w:t>Listę rekomendowanych projektów podaje się do publicznej wiadomości na stronie internetowej Budżetu Partycypacyjnego, stronie internetowej miasta, stronie BIP, w Punktach Konsultacyjnych oraz w terminie 15 dni przed głosowaniem, na tablicach informacyjnych w tych dzielnicach właściwych dla Budżetu Partycypacyjnego.</w:t>
            </w:r>
            <w:r w:rsidR="00DF1167" w:rsidRPr="00DF1167">
              <w:rPr>
                <w:color w:val="FF0000"/>
              </w:rPr>
              <w:t xml:space="preserve">  </w:t>
            </w:r>
          </w:p>
        </w:tc>
        <w:tc>
          <w:tcPr>
            <w:tcW w:w="3264" w:type="dxa"/>
          </w:tcPr>
          <w:p w:rsidR="002913CD" w:rsidRDefault="002913CD" w:rsidP="002913CD">
            <w:r>
              <w:t xml:space="preserve">Zgodnie </w:t>
            </w:r>
            <w:r w:rsidRPr="00370438">
              <w:t xml:space="preserve">z </w:t>
            </w:r>
            <w:r w:rsidR="00370438" w:rsidRPr="00370438">
              <w:t>§</w:t>
            </w:r>
            <w:r w:rsidRPr="00370438">
              <w:t xml:space="preserve">6 ust. 1 </w:t>
            </w:r>
            <w:r>
              <w:t>uchwały dot. Dąbrowskiego Budżetu Partycypacyjnego „Głosowanie mieszkańców w poszczególnych dzielnicach na projekty z listy, o której mowa w § 5 pkt.6 zarządza Prezydent Miasta nie wcześniej niż 14 dni i nie później niż 30 dni</w:t>
            </w:r>
          </w:p>
          <w:p w:rsidR="00DF1167" w:rsidRPr="00C90604" w:rsidRDefault="002913CD" w:rsidP="00754A76">
            <w:r>
              <w:t xml:space="preserve">od opublikowania listy projektów dla danej dzielnicy”. </w:t>
            </w:r>
          </w:p>
        </w:tc>
      </w:tr>
      <w:tr w:rsidR="00DF1167" w:rsidTr="00DF1167">
        <w:trPr>
          <w:trHeight w:val="180"/>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250986" w:rsidRDefault="00DF1167" w:rsidP="00DF1167">
            <w:r w:rsidRPr="00250986">
              <w:t>Wyniki monitorowania będące podsumowaniem realizacji Budżetu Partycypacyjnego następuje do 30 lutego roku następnego. Wyniki są ujęte w zbiorczą informację w formie tabelarycznej o stopniu zrealizowania projektów oraz planowanym i ostatecznym ich koszcie. Informacja ta jest podawana do publicznej wiadomości na stronie internetowej Budżetu Partycypacyjnego, stronie internetowej miasta, stronie BIP</w:t>
            </w:r>
            <w:r w:rsidR="009A0B64" w:rsidRPr="00250986">
              <w:t>.</w:t>
            </w:r>
          </w:p>
        </w:tc>
        <w:tc>
          <w:tcPr>
            <w:tcW w:w="3264" w:type="dxa"/>
          </w:tcPr>
          <w:p w:rsidR="00DF1167" w:rsidRPr="00250986" w:rsidRDefault="00754A76" w:rsidP="00250986">
            <w:r w:rsidRPr="00250986">
              <w:t>Uwaga uwzględniona –</w:t>
            </w:r>
            <w:r w:rsidR="00250986" w:rsidRPr="00250986">
              <w:t xml:space="preserve">  na portalu www.twojadabrowa.pl  </w:t>
            </w:r>
            <w:r w:rsidR="00250986">
              <w:t>zamieszczone zostanie podsumowanie z realizacji projektów</w:t>
            </w:r>
            <w:r w:rsidR="00DA56E2">
              <w:t xml:space="preserve"> zrealizowanych</w:t>
            </w:r>
            <w:r w:rsidR="00250986">
              <w:t xml:space="preserve"> w ramach Dąbrowskiego Budżetu Partycypacyjnego. </w:t>
            </w:r>
            <w:r w:rsidRPr="00250986">
              <w:t xml:space="preserve"> </w:t>
            </w:r>
          </w:p>
        </w:tc>
      </w:tr>
      <w:tr w:rsidR="00DF1167" w:rsidTr="00DF1167">
        <w:trPr>
          <w:trHeight w:val="525"/>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Pr="00DF1167" w:rsidRDefault="00DF1167" w:rsidP="00602C0F">
            <w:r>
              <w:t>Dopisanie „Kuźniczki Las” do wykazu ulic w dzielnicy Kuźniczka Nowa</w:t>
            </w:r>
            <w:r w:rsidR="009A0B64">
              <w:t>.</w:t>
            </w:r>
          </w:p>
        </w:tc>
        <w:tc>
          <w:tcPr>
            <w:tcW w:w="3264" w:type="dxa"/>
          </w:tcPr>
          <w:p w:rsidR="00DF1167" w:rsidRPr="00C90604" w:rsidRDefault="00DF1167" w:rsidP="00A5504C">
            <w:r>
              <w:t xml:space="preserve">Ulica ta  nie </w:t>
            </w:r>
            <w:r w:rsidR="00A5504C">
              <w:t>figuruje</w:t>
            </w:r>
            <w:r>
              <w:t xml:space="preserve"> w programie TERYT w oparciu o który przygotowywany jest podział na dzielnice. W efekcie ulica ta nie może zostać dodana.</w:t>
            </w:r>
          </w:p>
        </w:tc>
      </w:tr>
      <w:tr w:rsidR="00DF1167" w:rsidTr="00602C0F">
        <w:trPr>
          <w:trHeight w:val="534"/>
        </w:trPr>
        <w:tc>
          <w:tcPr>
            <w:tcW w:w="534" w:type="dxa"/>
            <w:vMerge/>
          </w:tcPr>
          <w:p w:rsidR="00DF1167" w:rsidRDefault="00DF1167" w:rsidP="00602C0F">
            <w:pPr>
              <w:jc w:val="center"/>
              <w:rPr>
                <w:b/>
              </w:rPr>
            </w:pPr>
          </w:p>
        </w:tc>
        <w:tc>
          <w:tcPr>
            <w:tcW w:w="1701" w:type="dxa"/>
            <w:vMerge/>
          </w:tcPr>
          <w:p w:rsidR="00DF1167" w:rsidRDefault="00DF1167" w:rsidP="00602C0F">
            <w:pPr>
              <w:rPr>
                <w:b/>
              </w:rPr>
            </w:pPr>
          </w:p>
        </w:tc>
        <w:tc>
          <w:tcPr>
            <w:tcW w:w="4674" w:type="dxa"/>
          </w:tcPr>
          <w:p w:rsidR="00DF1167" w:rsidRDefault="00DF1167" w:rsidP="00602C0F">
            <w:r>
              <w:t>W tabeli z weryfikacji i opiniowania projektów przez Urząd Miejski w tabeli „rekomendacja” dopisać frazę „wraz z uzasadnieniem”</w:t>
            </w:r>
            <w:r w:rsidR="009A0B64">
              <w:t>.</w:t>
            </w:r>
          </w:p>
          <w:p w:rsidR="00DF1167" w:rsidRDefault="00DF1167" w:rsidP="00602C0F"/>
        </w:tc>
        <w:tc>
          <w:tcPr>
            <w:tcW w:w="3264" w:type="dxa"/>
          </w:tcPr>
          <w:p w:rsidR="00DF1167" w:rsidRPr="00C90604" w:rsidRDefault="00DF1167" w:rsidP="00602C0F">
            <w:r>
              <w:t xml:space="preserve">W przypadku publikacji listy projektów po weryfikacji przez Urząd Miejski w tabeli rekomendacja wskazywane jest krótkie uzasadnienie, które </w:t>
            </w:r>
            <w:r w:rsidR="00612226">
              <w:t xml:space="preserve"> </w:t>
            </w:r>
            <w:r>
              <w:t>określa dlaczego dany projekt uznany jest na niemożliwy bądź częściowo możliwy do realizacji. W przypadku chęci uzyskania dodatkowych informacji, pracownicy Biura Organizacji Pozarządowych i Aktywności Obywatelskiej udzielają takich informacji telefonicznie bądź osobiście.</w:t>
            </w:r>
          </w:p>
        </w:tc>
      </w:tr>
      <w:tr w:rsidR="00602C0F" w:rsidTr="00602C0F">
        <w:tc>
          <w:tcPr>
            <w:tcW w:w="534" w:type="dxa"/>
          </w:tcPr>
          <w:p w:rsidR="00602C0F" w:rsidRDefault="00602C0F" w:rsidP="00602C0F">
            <w:pPr>
              <w:jc w:val="center"/>
              <w:rPr>
                <w:b/>
              </w:rPr>
            </w:pPr>
            <w:r>
              <w:rPr>
                <w:b/>
              </w:rPr>
              <w:t>3.</w:t>
            </w:r>
          </w:p>
        </w:tc>
        <w:tc>
          <w:tcPr>
            <w:tcW w:w="1701" w:type="dxa"/>
          </w:tcPr>
          <w:p w:rsidR="00602C0F" w:rsidRPr="00926F01" w:rsidRDefault="00612226" w:rsidP="00612226">
            <w:pPr>
              <w:jc w:val="center"/>
              <w:rPr>
                <w:b/>
              </w:rPr>
            </w:pPr>
            <w:r w:rsidRPr="00926F01">
              <w:rPr>
                <w:b/>
              </w:rPr>
              <w:t>Katarzyna Jachna</w:t>
            </w:r>
          </w:p>
        </w:tc>
        <w:tc>
          <w:tcPr>
            <w:tcW w:w="4674" w:type="dxa"/>
          </w:tcPr>
          <w:p w:rsidR="00602C0F" w:rsidRPr="00612226" w:rsidRDefault="00612226" w:rsidP="00602C0F">
            <w:r w:rsidRPr="00612226">
              <w:t>Pragnę zwrócić uwagę, iż w załączniku dotyczącym podziału dzielnic zostały pominięte bloki znajdujące się przy ul. Kosmonautów 2, 4, 6 i 8.</w:t>
            </w:r>
          </w:p>
        </w:tc>
        <w:tc>
          <w:tcPr>
            <w:tcW w:w="3264" w:type="dxa"/>
          </w:tcPr>
          <w:p w:rsidR="00602C0F" w:rsidRPr="00612226" w:rsidRDefault="00612226" w:rsidP="00602C0F">
            <w:r w:rsidRPr="00612226">
              <w:t>Uwaga uwzględniona – w podziale dzielnic omyłkowo bloki te nie zostały wprowadzone, aczkolwiek osoby te uwzględnione zostały w podziale ilościowym mieszkańców</w:t>
            </w:r>
            <w:r w:rsidR="009A0B64">
              <w:t>.</w:t>
            </w:r>
          </w:p>
        </w:tc>
      </w:tr>
      <w:tr w:rsidR="00612226" w:rsidTr="00612226">
        <w:trPr>
          <w:trHeight w:val="1980"/>
        </w:trPr>
        <w:tc>
          <w:tcPr>
            <w:tcW w:w="534" w:type="dxa"/>
            <w:vMerge w:val="restart"/>
          </w:tcPr>
          <w:p w:rsidR="00612226" w:rsidRDefault="00612226" w:rsidP="00602C0F">
            <w:pPr>
              <w:jc w:val="center"/>
              <w:rPr>
                <w:b/>
              </w:rPr>
            </w:pPr>
            <w:r>
              <w:rPr>
                <w:b/>
              </w:rPr>
              <w:t>4.</w:t>
            </w:r>
          </w:p>
        </w:tc>
        <w:tc>
          <w:tcPr>
            <w:tcW w:w="1701" w:type="dxa"/>
            <w:vMerge w:val="restart"/>
          </w:tcPr>
          <w:p w:rsidR="00612226" w:rsidRPr="00926F01" w:rsidRDefault="00612226" w:rsidP="00612226">
            <w:pPr>
              <w:jc w:val="center"/>
              <w:rPr>
                <w:b/>
              </w:rPr>
            </w:pPr>
            <w:r w:rsidRPr="00926F01">
              <w:rPr>
                <w:b/>
              </w:rPr>
              <w:t xml:space="preserve">Ilona </w:t>
            </w:r>
            <w:proofErr w:type="spellStart"/>
            <w:r w:rsidRPr="00926F01">
              <w:rPr>
                <w:b/>
              </w:rPr>
              <w:t>Blecha</w:t>
            </w:r>
            <w:proofErr w:type="spellEnd"/>
          </w:p>
        </w:tc>
        <w:tc>
          <w:tcPr>
            <w:tcW w:w="4674" w:type="dxa"/>
          </w:tcPr>
          <w:p w:rsidR="00612226" w:rsidRPr="00612226" w:rsidRDefault="00612226" w:rsidP="00612226">
            <w:r w:rsidRPr="00612226">
              <w:t xml:space="preserve">W załączniku dotyczącym podziału dzielnic ul. Żytnia znajduje się w dzielnicy </w:t>
            </w:r>
            <w:proofErr w:type="spellStart"/>
            <w:r w:rsidRPr="00612226">
              <w:t>Reden</w:t>
            </w:r>
            <w:proofErr w:type="spellEnd"/>
            <w:r w:rsidRPr="00612226">
              <w:t xml:space="preserve"> oraz w dzielnicy </w:t>
            </w:r>
            <w:proofErr w:type="spellStart"/>
            <w:r w:rsidRPr="00612226">
              <w:t>Korzeniec-Dziewiąty-Zielona</w:t>
            </w:r>
            <w:proofErr w:type="spellEnd"/>
            <w:r w:rsidRPr="00612226">
              <w:t>.</w:t>
            </w:r>
          </w:p>
          <w:p w:rsidR="00612226" w:rsidRPr="00612226" w:rsidRDefault="00612226" w:rsidP="00612226">
            <w:r w:rsidRPr="00612226">
              <w:t xml:space="preserve">Dobrze, gdyby znalazła się w jednej dzielnicy, najlepiej gdyby była to dzielnica </w:t>
            </w:r>
            <w:proofErr w:type="spellStart"/>
            <w:r w:rsidRPr="00612226">
              <w:t>Reden</w:t>
            </w:r>
            <w:proofErr w:type="spellEnd"/>
            <w:r w:rsidRPr="00612226">
              <w:t>, bo z tą drugą dzielnicą naprawdę mamy niewiele wspólnego.</w:t>
            </w:r>
          </w:p>
          <w:p w:rsidR="00612226" w:rsidRPr="00612226" w:rsidRDefault="00612226" w:rsidP="00612226"/>
        </w:tc>
        <w:tc>
          <w:tcPr>
            <w:tcW w:w="3264" w:type="dxa"/>
          </w:tcPr>
          <w:p w:rsidR="00612226" w:rsidRPr="00612226" w:rsidRDefault="00612226" w:rsidP="00602C0F">
            <w:r w:rsidRPr="00612226">
              <w:t xml:space="preserve">Uwaga uwzględniona – ulica Żytnia omyłkowo została powielona w podziale dzielnic. </w:t>
            </w:r>
          </w:p>
        </w:tc>
      </w:tr>
      <w:tr w:rsidR="00612226" w:rsidTr="00992DF6">
        <w:trPr>
          <w:trHeight w:val="708"/>
        </w:trPr>
        <w:tc>
          <w:tcPr>
            <w:tcW w:w="534" w:type="dxa"/>
            <w:vMerge/>
          </w:tcPr>
          <w:p w:rsidR="00612226" w:rsidRDefault="00612226" w:rsidP="00602C0F">
            <w:pPr>
              <w:jc w:val="center"/>
              <w:rPr>
                <w:b/>
              </w:rPr>
            </w:pPr>
          </w:p>
        </w:tc>
        <w:tc>
          <w:tcPr>
            <w:tcW w:w="1701" w:type="dxa"/>
            <w:vMerge/>
          </w:tcPr>
          <w:p w:rsidR="00612226" w:rsidRPr="00926F01" w:rsidRDefault="00612226" w:rsidP="00602C0F">
            <w:pPr>
              <w:rPr>
                <w:b/>
              </w:rPr>
            </w:pPr>
          </w:p>
        </w:tc>
        <w:tc>
          <w:tcPr>
            <w:tcW w:w="4674" w:type="dxa"/>
          </w:tcPr>
          <w:p w:rsidR="00612226" w:rsidRPr="00612226" w:rsidRDefault="00612226" w:rsidP="00612226">
            <w:r w:rsidRPr="00612226">
              <w:t xml:space="preserve">Najlepiej gdyby cały obszar pomiędzy ulicami: Graniczną, Piłsudskiego, Poniatowskiego i torami kolejowymi odłączyć od dzielnicy </w:t>
            </w:r>
            <w:proofErr w:type="spellStart"/>
            <w:r w:rsidRPr="00612226">
              <w:t>Dziewiąty-Korzeniec-Zielona</w:t>
            </w:r>
            <w:proofErr w:type="spellEnd"/>
            <w:r w:rsidRPr="00612226">
              <w:t xml:space="preserve"> i przyłączyć do dzielnicy </w:t>
            </w:r>
            <w:proofErr w:type="spellStart"/>
            <w:r w:rsidRPr="00612226">
              <w:t>Reden</w:t>
            </w:r>
            <w:proofErr w:type="spellEnd"/>
            <w:r w:rsidRPr="00612226">
              <w:t xml:space="preserve"> w całości lub w połowie do dzielnicy </w:t>
            </w:r>
            <w:proofErr w:type="spellStart"/>
            <w:r w:rsidRPr="00612226">
              <w:t>Reden</w:t>
            </w:r>
            <w:proofErr w:type="spellEnd"/>
            <w:r w:rsidRPr="00612226">
              <w:t xml:space="preserve">, a w połowie do dzielnicy </w:t>
            </w:r>
            <w:proofErr w:type="spellStart"/>
            <w:r w:rsidRPr="00612226">
              <w:t>Brodway</w:t>
            </w:r>
            <w:proofErr w:type="spellEnd"/>
            <w:r w:rsidRPr="00612226">
              <w:t xml:space="preserve"> (z granicą na ulicy Łańcuckiego)</w:t>
            </w:r>
          </w:p>
        </w:tc>
        <w:tc>
          <w:tcPr>
            <w:tcW w:w="3264" w:type="dxa"/>
          </w:tcPr>
          <w:p w:rsidR="00612226" w:rsidRDefault="00612226" w:rsidP="00602C0F">
            <w:r w:rsidRPr="00612226">
              <w:t xml:space="preserve">Uwaga nieuwzględniona – w oparciu o analizę z I </w:t>
            </w:r>
            <w:proofErr w:type="spellStart"/>
            <w:r w:rsidRPr="00612226">
              <w:t>i</w:t>
            </w:r>
            <w:proofErr w:type="spellEnd"/>
            <w:r w:rsidRPr="00612226">
              <w:t xml:space="preserve"> II edycji Dąbrowskiego Budżetu Partycypacyjnego wynika, że projekt zgłoszony przez mieszkańców w lokalizacji wskazanej w uwadze w dzielnicy </w:t>
            </w:r>
            <w:proofErr w:type="spellStart"/>
            <w:r w:rsidRPr="00612226">
              <w:t>Zielona-Korzeniec-Dziewiąty</w:t>
            </w:r>
            <w:proofErr w:type="spellEnd"/>
            <w:r w:rsidRPr="00612226">
              <w:t xml:space="preserve"> uzyskał większą ilość głosów niż w dzielnicy </w:t>
            </w:r>
            <w:proofErr w:type="spellStart"/>
            <w:r w:rsidRPr="00612226">
              <w:t>Reden</w:t>
            </w:r>
            <w:proofErr w:type="spellEnd"/>
            <w:r w:rsidRPr="00612226">
              <w:t xml:space="preserve"> (w której znalazły się w I edycji). W efekcie korzystniejszym jest pozostawienie przedmiotowych ulic w dzielnicy </w:t>
            </w:r>
            <w:proofErr w:type="spellStart"/>
            <w:r w:rsidRPr="00612226">
              <w:t>Zielona-Korzeniec-Dziewiąty</w:t>
            </w:r>
            <w:proofErr w:type="spellEnd"/>
            <w:r w:rsidR="00463B5E">
              <w:t>.</w:t>
            </w:r>
          </w:p>
          <w:p w:rsidR="00A76288" w:rsidRDefault="00A76288" w:rsidP="00602C0F"/>
          <w:p w:rsidR="00A76288" w:rsidRPr="00612226" w:rsidRDefault="00A76288" w:rsidP="00602C0F"/>
        </w:tc>
      </w:tr>
      <w:tr w:rsidR="00602C0F" w:rsidTr="00602C0F">
        <w:tc>
          <w:tcPr>
            <w:tcW w:w="534" w:type="dxa"/>
          </w:tcPr>
          <w:p w:rsidR="00602C0F" w:rsidRDefault="00602C0F" w:rsidP="00602C0F">
            <w:pPr>
              <w:jc w:val="center"/>
              <w:rPr>
                <w:b/>
              </w:rPr>
            </w:pPr>
            <w:r>
              <w:rPr>
                <w:b/>
              </w:rPr>
              <w:lastRenderedPageBreak/>
              <w:t>5.</w:t>
            </w:r>
          </w:p>
        </w:tc>
        <w:tc>
          <w:tcPr>
            <w:tcW w:w="1701" w:type="dxa"/>
          </w:tcPr>
          <w:p w:rsidR="00602C0F" w:rsidRPr="00926F01" w:rsidRDefault="00612226" w:rsidP="009A0B64">
            <w:pPr>
              <w:jc w:val="center"/>
              <w:rPr>
                <w:b/>
              </w:rPr>
            </w:pPr>
            <w:r w:rsidRPr="00926F01">
              <w:rPr>
                <w:b/>
              </w:rPr>
              <w:t>Jerzy Reszke</w:t>
            </w:r>
          </w:p>
        </w:tc>
        <w:tc>
          <w:tcPr>
            <w:tcW w:w="4674" w:type="dxa"/>
          </w:tcPr>
          <w:p w:rsidR="00612226" w:rsidRPr="009A0B64" w:rsidRDefault="00612226" w:rsidP="00612226">
            <w:r w:rsidRPr="009A0B64">
              <w:t>Metoda podziału środków na poszczególne dzielnice powinna obejmować zarówno wskaźnik ilości ludności, jak i powierzchnię.</w:t>
            </w:r>
          </w:p>
          <w:p w:rsidR="00612226" w:rsidRPr="009A0B64" w:rsidRDefault="00612226" w:rsidP="00612226"/>
          <w:p w:rsidR="00612226" w:rsidRPr="009A0B64" w:rsidRDefault="00612226" w:rsidP="00612226">
            <w:r w:rsidRPr="009A0B64">
              <w:t xml:space="preserve">W podziale na dzielnice brak jest jakiejś myśli przewodniej. Jest ogromne zróżnicowanie pod względem wielkości, co powoduje różne możliwości kreowania projektów i zróżnicowanie ich skali. Wynika to może z braku takiej struktury dzielnic w mieście i pomieszanie dzielnic, mających tradycje historyczne z osiedlami. Może w pewnej perspektywie byłoby lepiej doprowadzić do przyjęcia takiej struktury obejmującej 8-11 dzielnic podzielonych na osiedla, co przyniosłoby też pośrednio korzyść w utworzeniu silnych rad dzielnic. </w:t>
            </w:r>
          </w:p>
          <w:p w:rsidR="00612226" w:rsidRPr="009A0B64" w:rsidRDefault="00612226" w:rsidP="00612226"/>
          <w:p w:rsidR="00612226" w:rsidRPr="009A0B64" w:rsidRDefault="00612226" w:rsidP="00612226">
            <w:r w:rsidRPr="009A0B64">
              <w:t>Obecny podział nie pozwala na tworzenie większych projektów dla większości tzw. dzielnic. Może stworzenie podziału na dzielnice i osiedla pozwoliłoby na realizację projektów na dwóch szczeblach : dzielnicowym i osiedlowym? Dałoby to znacznie większe możliwości. Zastępczym rozwiązaniem jest umożliwienie składanie projektów międzydzielnicowych, głosowanych w kilku obecnych dzielnicach i obejmujących zasięgiem teren tych dzielnic.</w:t>
            </w:r>
          </w:p>
          <w:p w:rsidR="00612226" w:rsidRPr="009A0B64" w:rsidRDefault="00612226" w:rsidP="00612226"/>
          <w:p w:rsidR="00612226" w:rsidRPr="009A0B64" w:rsidRDefault="00612226" w:rsidP="00612226">
            <w:r w:rsidRPr="009A0B64">
              <w:t>W dalszym ciągu na budżet przeznaczone są zbyt małe środki. Powinny one stopniowo być zwiększane. Może zacząć od 5%?</w:t>
            </w:r>
          </w:p>
          <w:p w:rsidR="00612226" w:rsidRPr="009A0B64" w:rsidRDefault="00612226" w:rsidP="00612226"/>
          <w:p w:rsidR="00612226" w:rsidRPr="009A0B64" w:rsidRDefault="00612226" w:rsidP="00612226">
            <w:r w:rsidRPr="009A0B64">
              <w:t xml:space="preserve">Obecnie projekty dotyczące zmian, inwestycji czy remontów są zgłaszane kilkoma kanałami : jako projekty poprzez budżet partycypacyjny (w tym nieprzyjęte), jako zgłoszenia w portalu </w:t>
            </w:r>
            <w:proofErr w:type="spellStart"/>
            <w:r w:rsidRPr="009A0B64">
              <w:t>naprawmy.to</w:t>
            </w:r>
            <w:proofErr w:type="spellEnd"/>
            <w:r w:rsidRPr="009A0B64">
              <w:t>, jako interpelacje radnych i jako zadania zgłaszane przez UM. Proponuję zbudowanie z tych propozycji Banku Potrzeb miasta, co umożliwi szeroki przegląd i potrzeb i oczekiwań mieszkańców.</w:t>
            </w:r>
          </w:p>
          <w:p w:rsidR="00612226" w:rsidRPr="009A0B64" w:rsidRDefault="00612226" w:rsidP="00612226"/>
          <w:p w:rsidR="00612226" w:rsidRPr="009A0B64" w:rsidRDefault="00612226" w:rsidP="00612226">
            <w:r w:rsidRPr="009A0B64">
              <w:t>Dla kryteriów oceny projektów powinno się jasno ograniczyć zgłaszanie projektów, które należą do zadań gminy i powinny być realizowane ze środków budżetowych.</w:t>
            </w:r>
          </w:p>
          <w:p w:rsidR="00612226" w:rsidRPr="009A0B64" w:rsidRDefault="00612226" w:rsidP="00612226"/>
          <w:p w:rsidR="00602C0F" w:rsidRDefault="00612226" w:rsidP="00612226">
            <w:pPr>
              <w:rPr>
                <w:b/>
              </w:rPr>
            </w:pPr>
            <w:r w:rsidRPr="009A0B64">
              <w:t>Powinno znaleźć  się rozwiązanie, które umożliwi realizację projektów kilkuletnich.</w:t>
            </w:r>
          </w:p>
        </w:tc>
        <w:tc>
          <w:tcPr>
            <w:tcW w:w="3264" w:type="dxa"/>
          </w:tcPr>
          <w:p w:rsidR="00602C0F" w:rsidRPr="00926F01" w:rsidRDefault="00926F01" w:rsidP="00014571">
            <w:r>
              <w:t>Uwaga nieuwzględniona – przedstawione propozycje znacząco wpływają na model Dąbrowskiego Budżetu Partycypacyjnego. Cześć z uwag była przedmiot</w:t>
            </w:r>
            <w:r w:rsidR="00642343">
              <w:t>em</w:t>
            </w:r>
            <w:r>
              <w:t xml:space="preserve"> dyskusji podczas działań ewaluacyjnych I oraz II edycji. </w:t>
            </w:r>
            <w:r w:rsidR="00642343">
              <w:t xml:space="preserve"> Uwagi te mogą stać się </w:t>
            </w:r>
            <w:r w:rsidR="00014571">
              <w:t>ponownym</w:t>
            </w:r>
            <w:r w:rsidR="00642343">
              <w:t xml:space="preserve"> przedmiotem dyskusji podczas ewaluacji III edycji Dąbrowskiego Budżetu Partycypacyjnego. Wszystkie dotychczasowe modele przygotowane zostały w oparciu o uwagi i sugestie mieszkańców naszego miasta. </w:t>
            </w:r>
            <w:r w:rsidR="00014571">
              <w:t>Uwagi tego typu wielokrotnie omawiane były na warsztatach/spotkaniach ewaluacyjnych. W efekcie tych prac opracowane zostały dwa dotychczasowe modele</w:t>
            </w:r>
            <w:r w:rsidR="005C451E">
              <w:t xml:space="preserve">, które zostały odebrane pozytywnie przez mieszkańców naszego miasta. </w:t>
            </w:r>
          </w:p>
        </w:tc>
      </w:tr>
    </w:tbl>
    <w:p w:rsidR="00602C0F" w:rsidRPr="00602C0F" w:rsidRDefault="00602C0F" w:rsidP="00992DF6">
      <w:pPr>
        <w:rPr>
          <w:b/>
        </w:rPr>
      </w:pPr>
    </w:p>
    <w:sectPr w:rsidR="00602C0F" w:rsidRPr="00602C0F" w:rsidSect="00972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C0F"/>
    <w:rsid w:val="00014571"/>
    <w:rsid w:val="000C0B1E"/>
    <w:rsid w:val="000E2F68"/>
    <w:rsid w:val="0012538F"/>
    <w:rsid w:val="00167610"/>
    <w:rsid w:val="00250986"/>
    <w:rsid w:val="00280DEA"/>
    <w:rsid w:val="002913CD"/>
    <w:rsid w:val="00370438"/>
    <w:rsid w:val="00376D07"/>
    <w:rsid w:val="003C106F"/>
    <w:rsid w:val="003E0789"/>
    <w:rsid w:val="00463B5E"/>
    <w:rsid w:val="00474DC8"/>
    <w:rsid w:val="00505035"/>
    <w:rsid w:val="005C451E"/>
    <w:rsid w:val="00602C0F"/>
    <w:rsid w:val="00605BAE"/>
    <w:rsid w:val="00612226"/>
    <w:rsid w:val="00642343"/>
    <w:rsid w:val="00754A76"/>
    <w:rsid w:val="00797978"/>
    <w:rsid w:val="007A64D5"/>
    <w:rsid w:val="00926F01"/>
    <w:rsid w:val="0093217F"/>
    <w:rsid w:val="0097263A"/>
    <w:rsid w:val="00992DF6"/>
    <w:rsid w:val="009A0B64"/>
    <w:rsid w:val="00A5504C"/>
    <w:rsid w:val="00A76288"/>
    <w:rsid w:val="00AB6D0D"/>
    <w:rsid w:val="00AC0BB7"/>
    <w:rsid w:val="00AE2898"/>
    <w:rsid w:val="00B66067"/>
    <w:rsid w:val="00BE3B17"/>
    <w:rsid w:val="00C90604"/>
    <w:rsid w:val="00D0607E"/>
    <w:rsid w:val="00D067B4"/>
    <w:rsid w:val="00D61684"/>
    <w:rsid w:val="00DA56E2"/>
    <w:rsid w:val="00DF1167"/>
    <w:rsid w:val="00FB5897"/>
    <w:rsid w:val="00FB7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BAE"/>
  </w:style>
  <w:style w:type="paragraph" w:styleId="Nagwek1">
    <w:name w:val="heading 1"/>
    <w:basedOn w:val="Normalny"/>
    <w:next w:val="Normalny"/>
    <w:link w:val="Nagwek1Znak"/>
    <w:uiPriority w:val="9"/>
    <w:qFormat/>
    <w:rsid w:val="00605BAE"/>
    <w:pPr>
      <w:keepNext/>
      <w:keepLines/>
      <w:widowControl w:val="0"/>
      <w:autoSpaceDN w:val="0"/>
      <w:adjustRightInd w:val="0"/>
      <w:spacing w:before="200" w:after="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605BAE"/>
    <w:pPr>
      <w:keepNext/>
      <w:keepLines/>
      <w:widowControl w:val="0"/>
      <w:autoSpaceDN w:val="0"/>
      <w:adjustRightInd w:val="0"/>
      <w:spacing w:before="200" w:after="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qFormat/>
    <w:rsid w:val="00605BAE"/>
    <w:pPr>
      <w:keepNext/>
      <w:keepLines/>
      <w:widowControl w:val="0"/>
      <w:autoSpaceDN w:val="0"/>
      <w:adjustRightInd w:val="0"/>
      <w:spacing w:before="160" w:after="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qFormat/>
    <w:rsid w:val="00605BAE"/>
    <w:pPr>
      <w:keepNext/>
      <w:keepLines/>
      <w:widowControl w:val="0"/>
      <w:autoSpaceDN w:val="0"/>
      <w:adjustRightInd w:val="0"/>
      <w:spacing w:before="160" w:after="0"/>
      <w:outlineLvl w:val="3"/>
    </w:pPr>
    <w:rPr>
      <w:b/>
      <w:bCs/>
      <w:sz w:val="28"/>
      <w:szCs w:val="28"/>
    </w:rPr>
  </w:style>
  <w:style w:type="paragraph" w:styleId="Nagwek5">
    <w:name w:val="heading 5"/>
    <w:basedOn w:val="Normalny"/>
    <w:next w:val="Normalny"/>
    <w:link w:val="Nagwek5Znak"/>
    <w:uiPriority w:val="9"/>
    <w:qFormat/>
    <w:rsid w:val="00605BAE"/>
    <w:pPr>
      <w:keepNext/>
      <w:keepLines/>
      <w:widowControl w:val="0"/>
      <w:autoSpaceDN w:val="0"/>
      <w:adjustRightInd w:val="0"/>
      <w:spacing w:before="160" w:after="0"/>
      <w:outlineLvl w:val="4"/>
    </w:pPr>
    <w:rPr>
      <w:b/>
      <w:bCs/>
      <w:i/>
      <w:iCs/>
      <w:sz w:val="26"/>
      <w:szCs w:val="26"/>
    </w:rPr>
  </w:style>
  <w:style w:type="paragraph" w:styleId="Nagwek6">
    <w:name w:val="heading 6"/>
    <w:basedOn w:val="Normalny"/>
    <w:next w:val="Normalny"/>
    <w:link w:val="Nagwek6Znak"/>
    <w:uiPriority w:val="9"/>
    <w:qFormat/>
    <w:rsid w:val="00605BAE"/>
    <w:pPr>
      <w:keepNext/>
      <w:keepLines/>
      <w:widowControl w:val="0"/>
      <w:autoSpaceDN w:val="0"/>
      <w:adjustRightInd w:val="0"/>
      <w:spacing w:before="160" w:after="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605BAE"/>
    <w:rPr>
      <w:b/>
      <w:bCs/>
      <w:i/>
      <w:iCs/>
      <w:sz w:val="26"/>
      <w:szCs w:val="26"/>
    </w:rPr>
  </w:style>
  <w:style w:type="character" w:customStyle="1" w:styleId="Nagwek1Znak">
    <w:name w:val="Nagłówek 1 Znak"/>
    <w:basedOn w:val="Domylnaczcionkaakapitu"/>
    <w:link w:val="Nagwek1"/>
    <w:uiPriority w:val="9"/>
    <w:rsid w:val="00605BAE"/>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605BAE"/>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605BAE"/>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605BAE"/>
    <w:rPr>
      <w:b/>
      <w:bCs/>
      <w:sz w:val="28"/>
      <w:szCs w:val="28"/>
    </w:rPr>
  </w:style>
  <w:style w:type="character" w:customStyle="1" w:styleId="Nagwek6Znak">
    <w:name w:val="Nagłówek 6 Znak"/>
    <w:basedOn w:val="Domylnaczcionkaakapitu"/>
    <w:link w:val="Nagwek6"/>
    <w:uiPriority w:val="9"/>
    <w:rsid w:val="00605BAE"/>
    <w:rPr>
      <w:b/>
      <w:bCs/>
    </w:rPr>
  </w:style>
  <w:style w:type="table" w:styleId="Tabela-Siatka">
    <w:name w:val="Table Grid"/>
    <w:basedOn w:val="Standardowy"/>
    <w:uiPriority w:val="59"/>
    <w:rsid w:val="00602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E2898"/>
    <w:rPr>
      <w:sz w:val="16"/>
      <w:szCs w:val="16"/>
    </w:rPr>
  </w:style>
  <w:style w:type="paragraph" w:styleId="Tekstkomentarza">
    <w:name w:val="annotation text"/>
    <w:basedOn w:val="Normalny"/>
    <w:link w:val="TekstkomentarzaZnak"/>
    <w:uiPriority w:val="99"/>
    <w:semiHidden/>
    <w:unhideWhenUsed/>
    <w:rsid w:val="00AE2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2898"/>
    <w:rPr>
      <w:sz w:val="20"/>
      <w:szCs w:val="20"/>
    </w:rPr>
  </w:style>
  <w:style w:type="paragraph" w:styleId="Tematkomentarza">
    <w:name w:val="annotation subject"/>
    <w:basedOn w:val="Tekstkomentarza"/>
    <w:next w:val="Tekstkomentarza"/>
    <w:link w:val="TematkomentarzaZnak"/>
    <w:uiPriority w:val="99"/>
    <w:semiHidden/>
    <w:unhideWhenUsed/>
    <w:rsid w:val="00AE2898"/>
    <w:rPr>
      <w:b/>
      <w:bCs/>
    </w:rPr>
  </w:style>
  <w:style w:type="character" w:customStyle="1" w:styleId="TematkomentarzaZnak">
    <w:name w:val="Temat komentarza Znak"/>
    <w:basedOn w:val="TekstkomentarzaZnak"/>
    <w:link w:val="Tematkomentarza"/>
    <w:uiPriority w:val="99"/>
    <w:semiHidden/>
    <w:rsid w:val="00AE2898"/>
    <w:rPr>
      <w:b/>
      <w:bCs/>
      <w:sz w:val="20"/>
      <w:szCs w:val="20"/>
    </w:rPr>
  </w:style>
  <w:style w:type="paragraph" w:styleId="Tekstdymka">
    <w:name w:val="Balloon Text"/>
    <w:basedOn w:val="Normalny"/>
    <w:link w:val="TekstdymkaZnak"/>
    <w:uiPriority w:val="99"/>
    <w:semiHidden/>
    <w:unhideWhenUsed/>
    <w:rsid w:val="00AE28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898"/>
    <w:rPr>
      <w:rFonts w:ascii="Tahoma" w:hAnsi="Tahoma" w:cs="Tahoma"/>
      <w:sz w:val="16"/>
      <w:szCs w:val="16"/>
    </w:rPr>
  </w:style>
  <w:style w:type="character" w:styleId="Hipercze">
    <w:name w:val="Hyperlink"/>
    <w:basedOn w:val="Domylnaczcionkaakapitu"/>
    <w:uiPriority w:val="99"/>
    <w:unhideWhenUsed/>
    <w:rsid w:val="003C1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BAE"/>
  </w:style>
  <w:style w:type="paragraph" w:styleId="Nagwek1">
    <w:name w:val="heading 1"/>
    <w:basedOn w:val="Normalny"/>
    <w:next w:val="Normalny"/>
    <w:link w:val="Nagwek1Znak"/>
    <w:uiPriority w:val="9"/>
    <w:qFormat/>
    <w:rsid w:val="00605BAE"/>
    <w:pPr>
      <w:keepNext/>
      <w:keepLines/>
      <w:widowControl w:val="0"/>
      <w:autoSpaceDN w:val="0"/>
      <w:adjustRightInd w:val="0"/>
      <w:spacing w:before="200" w:after="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605BAE"/>
    <w:pPr>
      <w:keepNext/>
      <w:keepLines/>
      <w:widowControl w:val="0"/>
      <w:autoSpaceDN w:val="0"/>
      <w:adjustRightInd w:val="0"/>
      <w:spacing w:before="200" w:after="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qFormat/>
    <w:rsid w:val="00605BAE"/>
    <w:pPr>
      <w:keepNext/>
      <w:keepLines/>
      <w:widowControl w:val="0"/>
      <w:autoSpaceDN w:val="0"/>
      <w:adjustRightInd w:val="0"/>
      <w:spacing w:before="160" w:after="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qFormat/>
    <w:rsid w:val="00605BAE"/>
    <w:pPr>
      <w:keepNext/>
      <w:keepLines/>
      <w:widowControl w:val="0"/>
      <w:autoSpaceDN w:val="0"/>
      <w:adjustRightInd w:val="0"/>
      <w:spacing w:before="160" w:after="0"/>
      <w:outlineLvl w:val="3"/>
    </w:pPr>
    <w:rPr>
      <w:b/>
      <w:bCs/>
      <w:sz w:val="28"/>
      <w:szCs w:val="28"/>
    </w:rPr>
  </w:style>
  <w:style w:type="paragraph" w:styleId="Nagwek5">
    <w:name w:val="heading 5"/>
    <w:basedOn w:val="Normalny"/>
    <w:next w:val="Normalny"/>
    <w:link w:val="Nagwek5Znak"/>
    <w:uiPriority w:val="9"/>
    <w:qFormat/>
    <w:rsid w:val="00605BAE"/>
    <w:pPr>
      <w:keepNext/>
      <w:keepLines/>
      <w:widowControl w:val="0"/>
      <w:autoSpaceDN w:val="0"/>
      <w:adjustRightInd w:val="0"/>
      <w:spacing w:before="160" w:after="0"/>
      <w:outlineLvl w:val="4"/>
    </w:pPr>
    <w:rPr>
      <w:b/>
      <w:bCs/>
      <w:i/>
      <w:iCs/>
      <w:sz w:val="26"/>
      <w:szCs w:val="26"/>
    </w:rPr>
  </w:style>
  <w:style w:type="paragraph" w:styleId="Nagwek6">
    <w:name w:val="heading 6"/>
    <w:basedOn w:val="Normalny"/>
    <w:next w:val="Normalny"/>
    <w:link w:val="Nagwek6Znak"/>
    <w:uiPriority w:val="9"/>
    <w:qFormat/>
    <w:rsid w:val="00605BAE"/>
    <w:pPr>
      <w:keepNext/>
      <w:keepLines/>
      <w:widowControl w:val="0"/>
      <w:autoSpaceDN w:val="0"/>
      <w:adjustRightInd w:val="0"/>
      <w:spacing w:before="160" w:after="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605BAE"/>
    <w:rPr>
      <w:b/>
      <w:bCs/>
      <w:i/>
      <w:iCs/>
      <w:sz w:val="26"/>
      <w:szCs w:val="26"/>
    </w:rPr>
  </w:style>
  <w:style w:type="character" w:customStyle="1" w:styleId="Nagwek1Znak">
    <w:name w:val="Nagłówek 1 Znak"/>
    <w:basedOn w:val="Domylnaczcionkaakapitu"/>
    <w:link w:val="Nagwek1"/>
    <w:uiPriority w:val="9"/>
    <w:rsid w:val="00605BAE"/>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605BAE"/>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605BAE"/>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605BAE"/>
    <w:rPr>
      <w:b/>
      <w:bCs/>
      <w:sz w:val="28"/>
      <w:szCs w:val="28"/>
    </w:rPr>
  </w:style>
  <w:style w:type="character" w:customStyle="1" w:styleId="Nagwek6Znak">
    <w:name w:val="Nagłówek 6 Znak"/>
    <w:basedOn w:val="Domylnaczcionkaakapitu"/>
    <w:link w:val="Nagwek6"/>
    <w:uiPriority w:val="9"/>
    <w:rsid w:val="00605BAE"/>
    <w:rPr>
      <w:b/>
      <w:bCs/>
    </w:rPr>
  </w:style>
  <w:style w:type="table" w:styleId="Tabela-Siatka">
    <w:name w:val="Table Grid"/>
    <w:basedOn w:val="Standardowy"/>
    <w:uiPriority w:val="59"/>
    <w:rsid w:val="0060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E2898"/>
    <w:rPr>
      <w:sz w:val="16"/>
      <w:szCs w:val="16"/>
    </w:rPr>
  </w:style>
  <w:style w:type="paragraph" w:styleId="Tekstkomentarza">
    <w:name w:val="annotation text"/>
    <w:basedOn w:val="Normalny"/>
    <w:link w:val="TekstkomentarzaZnak"/>
    <w:uiPriority w:val="99"/>
    <w:semiHidden/>
    <w:unhideWhenUsed/>
    <w:rsid w:val="00AE2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2898"/>
    <w:rPr>
      <w:sz w:val="20"/>
      <w:szCs w:val="20"/>
    </w:rPr>
  </w:style>
  <w:style w:type="paragraph" w:styleId="Tematkomentarza">
    <w:name w:val="annotation subject"/>
    <w:basedOn w:val="Tekstkomentarza"/>
    <w:next w:val="Tekstkomentarza"/>
    <w:link w:val="TematkomentarzaZnak"/>
    <w:uiPriority w:val="99"/>
    <w:semiHidden/>
    <w:unhideWhenUsed/>
    <w:rsid w:val="00AE2898"/>
    <w:rPr>
      <w:b/>
      <w:bCs/>
    </w:rPr>
  </w:style>
  <w:style w:type="character" w:customStyle="1" w:styleId="TematkomentarzaZnak">
    <w:name w:val="Temat komentarza Znak"/>
    <w:basedOn w:val="TekstkomentarzaZnak"/>
    <w:link w:val="Tematkomentarza"/>
    <w:uiPriority w:val="99"/>
    <w:semiHidden/>
    <w:rsid w:val="00AE2898"/>
    <w:rPr>
      <w:b/>
      <w:bCs/>
      <w:sz w:val="20"/>
      <w:szCs w:val="20"/>
    </w:rPr>
  </w:style>
  <w:style w:type="paragraph" w:styleId="Tekstdymka">
    <w:name w:val="Balloon Text"/>
    <w:basedOn w:val="Normalny"/>
    <w:link w:val="TekstdymkaZnak"/>
    <w:uiPriority w:val="99"/>
    <w:semiHidden/>
    <w:unhideWhenUsed/>
    <w:rsid w:val="00AE28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o.dabrowa-gornicza.pl" TargetMode="External"/><Relationship Id="rId11" Type="http://schemas.microsoft.com/office/2007/relationships/stylesWithEffects" Target="stylesWithEffects.xml"/><Relationship Id="rId5" Type="http://schemas.openxmlformats.org/officeDocument/2006/relationships/hyperlink" Target="http://www.dabrowa-gornicza.pl" TargetMode="External"/><Relationship Id="rId4" Type="http://schemas.openxmlformats.org/officeDocument/2006/relationships/hyperlink" Target="http://www.twojadabr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1701</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Your User Name</cp:lastModifiedBy>
  <cp:revision>33</cp:revision>
  <dcterms:created xsi:type="dcterms:W3CDTF">2015-02-28T13:12:00Z</dcterms:created>
  <dcterms:modified xsi:type="dcterms:W3CDTF">2015-03-13T08:21:00Z</dcterms:modified>
</cp:coreProperties>
</file>